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7700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</w:rPr>
      </w:pPr>
      <w:bookmarkStart w:id="0" w:name="_Hlk196918412"/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劳动经济学院202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-202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学年团委副书记</w:t>
      </w:r>
    </w:p>
    <w:p w14:paraId="15DA255B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</w:rPr>
      </w:pP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候选人预备人选考察工作细则</w:t>
      </w:r>
    </w:p>
    <w:bookmarkEnd w:id="0"/>
    <w:p w14:paraId="2C81CAC8"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考察形式</w:t>
      </w:r>
    </w:p>
    <w:p w14:paraId="0A4D17E0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考察采取百分制量化考核形式，由学院团委（副）书记、辅导员、学生会（研究生会）主席团成员、新闻中心主任等组成考察小组，对候选人的任职条件进行综合考察。</w:t>
      </w:r>
    </w:p>
    <w:p w14:paraId="4A99AF36"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考察内容</w:t>
      </w:r>
    </w:p>
    <w:p w14:paraId="04E3855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考察内容由综合素质测评、面试答辩、竞选材料、绩效考核四个方面组成，各项内容得分按一定比例计入综合成绩，计算公式如下：</w:t>
      </w:r>
    </w:p>
    <w:p w14:paraId="277FCCA0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综合成绩</w:t>
      </w:r>
      <w:r>
        <w:rPr>
          <w:rFonts w:hint="eastAsia" w:ascii="仿宋_GB2312" w:eastAsia="仿宋_GB2312"/>
          <w:color w:val="000000"/>
          <w:sz w:val="32"/>
          <w:szCs w:val="32"/>
        </w:rPr>
        <w:t>=综合素质测评得分*</w:t>
      </w:r>
      <w:r>
        <w:rPr>
          <w:rFonts w:ascii="仿宋_GB2312" w:eastAsia="仿宋_GB2312"/>
          <w:color w:val="000000"/>
          <w:sz w:val="32"/>
          <w:szCs w:val="32"/>
        </w:rPr>
        <w:t>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面试答辩得分*</w:t>
      </w:r>
      <w:r>
        <w:rPr>
          <w:rFonts w:ascii="仿宋_GB2312" w:eastAsia="仿宋_GB2312"/>
          <w:color w:val="000000"/>
          <w:sz w:val="32"/>
          <w:szCs w:val="32"/>
        </w:rPr>
        <w:t>0.3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工作设想得分*</w:t>
      </w:r>
      <w:r>
        <w:rPr>
          <w:rFonts w:ascii="仿宋_GB2312" w:eastAsia="仿宋_GB2312"/>
          <w:color w:val="000000"/>
          <w:sz w:val="32"/>
          <w:szCs w:val="32"/>
        </w:rPr>
        <w:t>0.25+</w:t>
      </w:r>
      <w:r>
        <w:rPr>
          <w:rFonts w:hint="eastAsia" w:ascii="仿宋_GB2312" w:eastAsia="仿宋_GB2312"/>
          <w:color w:val="000000"/>
          <w:sz w:val="32"/>
          <w:szCs w:val="32"/>
        </w:rPr>
        <w:t>绩效考核得分*</w:t>
      </w:r>
      <w:r>
        <w:rPr>
          <w:rFonts w:ascii="仿宋_GB2312" w:eastAsia="仿宋_GB2312"/>
          <w:color w:val="000000"/>
          <w:sz w:val="32"/>
          <w:szCs w:val="32"/>
        </w:rPr>
        <w:t>0.15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CD9E46C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（一）综合素质测评得分（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>将候选人预备人选在校期间的综合素质测评平均分作为考察依据，将候选人预备人选中分数最高者量化为30分，其他人选按相应比例计分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7E1CFC51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（二）面试答辩得分（3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由学院考察小组对候选人预备人选进行结构化面试，以面试官评分平均值按比例计算后作为该项得分。 </w:t>
      </w:r>
    </w:p>
    <w:p w14:paraId="39089DA5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（三）竞选材料得分（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由学院考察小组依据候选人预备人员提交的竞选材料，从工作总结的全面性、准确性、实效性以及工作设想的可行性、创新性等方面进行评分，分数平均值按比例计算后作为该项得分。 </w:t>
      </w:r>
    </w:p>
    <w:p w14:paraId="1A94A447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绩效考核得分（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15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%）</w:t>
      </w:r>
      <w:r>
        <w:rPr>
          <w:rFonts w:hint="eastAsia" w:ascii="仿宋_GB2312" w:eastAsia="仿宋_GB2312"/>
          <w:color w:val="000000"/>
          <w:sz w:val="32"/>
          <w:szCs w:val="32"/>
        </w:rPr>
        <w:t>根据院团委绩效考核相关规定进行考核，由学院考察小组进行综合打分，分数平均值按比例计算后作为该项得分。</w:t>
      </w:r>
    </w:p>
    <w:p w14:paraId="536EE965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三、考察结果应用</w:t>
      </w:r>
    </w:p>
    <w:p w14:paraId="60FCAAF8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组织考察形成的综合成绩将作为确定学院202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-202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学年团委副书记候选人的主要依据。 </w:t>
      </w:r>
    </w:p>
    <w:p w14:paraId="5837DFC8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290E6E0">
      <w:pPr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共青团首都经济贸易大学劳动经济学院委员会</w:t>
      </w:r>
    </w:p>
    <w:p w14:paraId="6BBBE75F">
      <w:pPr>
        <w:ind w:firstLine="640" w:firstLineChars="200"/>
        <w:jc w:val="right"/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7017B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4D48D-41A7-4475-8414-86A59007E0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31B7926-5AF0-44DC-A20E-836468C080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95DF39-4617-4C49-BB9B-284BFB543982}"/>
  </w:font>
  <w:font w:name="FZXBSJW--GB1-0">
    <w:altName w:val="Cambria"/>
    <w:panose1 w:val="00000600000000000000"/>
    <w:charset w:val="00"/>
    <w:family w:val="roman"/>
    <w:pitch w:val="default"/>
    <w:sig w:usb0="00000000" w:usb1="00000000" w:usb2="00000000" w:usb3="00000000" w:csb0="00000000" w:csb1="00000000"/>
    <w:embedRegular r:id="rId4" w:fontKey="{92890AB3-6EA7-4514-A925-41A96C2CC11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6C454C-8929-411E-97A4-09868773DC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76E99"/>
    <w:multiLevelType w:val="multilevel"/>
    <w:tmpl w:val="65676E9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5F"/>
    <w:rsid w:val="00332003"/>
    <w:rsid w:val="00887A5F"/>
    <w:rsid w:val="008B0C69"/>
    <w:rsid w:val="0C1257E2"/>
    <w:rsid w:val="2BC43CE8"/>
    <w:rsid w:val="547E11F9"/>
    <w:rsid w:val="695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616</Characters>
  <Lines>4</Lines>
  <Paragraphs>1</Paragraphs>
  <TotalTime>0</TotalTime>
  <ScaleCrop>false</ScaleCrop>
  <LinksUpToDate>false</LinksUpToDate>
  <CharactersWithSpaces>623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2025-04-30T09:27:00Z</dcterms:created>
  <dc:creator>Lenovo</dc:creator>
  <cp:lastModifiedBy>苏婧妍</cp:lastModifiedBy>
  <dcterms:modified xsi:type="dcterms:W3CDTF">2026-04-27T14:40:34Z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eyJoZGlkIjoiZjgyNmM3YmJjOThjYTU3ODE0MjRlZDY1M2U1NDdjOGEiLCJ1c2VySWQiOiIxNzQzMzU2MTEzIn0=</vt:lpwstr>
  </property>
  <property fmtid="{D5CDD505-2E9C-101B-9397-08002B2CF9AE}" pid="3" name="KSOProductBuildVer">
    <vt:lpwstr>2052-12.1.0.25860</vt:lpwstr>
  </property>
  <property fmtid="{D5CDD505-2E9C-101B-9397-08002B2CF9AE}" pid="4" name="ICV">
    <vt:lpwstr>859BF86BE9F3489B96A89E5F529301FC_12</vt:lpwstr>
  </property>
</Properties>
</file>